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67DB" w14:textId="16249F88" w:rsidR="00D842C2" w:rsidRPr="009B1773" w:rsidRDefault="00597CA4" w:rsidP="001033CB">
      <w:pPr>
        <w:spacing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40"/>
          <w:szCs w:val="36"/>
        </w:rPr>
      </w:pPr>
      <w:r w:rsidRPr="009B1773">
        <w:rPr>
          <w:rFonts w:ascii="Times New Roman" w:eastAsia="標楷體" w:hAnsi="Times New Roman" w:cs="Times New Roman"/>
          <w:noProof/>
          <w:color w:val="000000" w:themeColor="text1"/>
          <w:sz w:val="48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09A1D" wp14:editId="09C19706">
                <wp:simplePos x="0" y="0"/>
                <wp:positionH relativeFrom="column">
                  <wp:posOffset>106878</wp:posOffset>
                </wp:positionH>
                <wp:positionV relativeFrom="paragraph">
                  <wp:posOffset>-357761</wp:posOffset>
                </wp:positionV>
                <wp:extent cx="712470" cy="1404620"/>
                <wp:effectExtent l="0" t="0" r="11430" b="203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FB4F2" w14:textId="275A638B" w:rsidR="00597CA4" w:rsidRPr="008D6AC7" w:rsidRDefault="00597CA4" w:rsidP="00597CA4">
                            <w:pPr>
                              <w:spacing w:line="32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</w:pPr>
                            <w:r w:rsidRPr="008D6AC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  <w:t>附件</w:t>
                            </w:r>
                            <w:r w:rsidR="005B4805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09A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.4pt;margin-top:-28.15pt;width:56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niEAIAAB8EAAAOAAAAZHJzL2Uyb0RvYy54bWysk99v2yAQx98n7X9AvC+2I6dprThVly7T&#10;pO6H1O0PwBjHaMAxILGzv34HTtOo216m8YCAO77cfe5Y3Y5akYNwXoKpaTHLKRGGQyvNrqbfvm7f&#10;XFP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FwWczLJVo4mooyL6/mqSoZq55uW+fDewGaxEVNHRY1qbPDgw8xGlY9ucTHPCjZbqVSaeN2&#10;zUY5cmDYANs0UgIv3JQhQ01vFvPFBOCvEnkaf5LQMmAnK6lren12YlXE9s60qc8Ck2paY8jKnDhG&#10;dBPEMDYjOkaeDbRHJOpg6lj8Ybjowf2kZMBuran/sWdOUKI+GKzKTVGWsb3TplwskSFxl5bm0sIM&#10;R6maBkqm5SakL5GA2Tus3lYmsM+RnGLFLky8Tz8mtvnlPnk9/+v1LwAAAP//AwBQSwMEFAAGAAgA&#10;AAAhAN3vS5jdAAAACgEAAA8AAABkcnMvZG93bnJldi54bWxMj8FOwzAQRO9I/IO1SFyq1qElEQ1x&#10;KqjUE6eGcnfjJYmI18F22/Tv2ZzocTSjmTfFZrS9OKMPnSMFT4sEBFLtTEeNgsPnbv4CIkRNRveO&#10;UMEVA2zK+7tC58ZdaI/nKjaCSyjkWkEb45BLGeoWrQ4LNyCx9+281ZGlb6Tx+sLltpfLJMmk1R3x&#10;QqsH3LZY/1QnqyD7rVazjy8zo/119+5rm5rtIVXq8WF8ewURcYz/YZjwGR1KZjq6E5kgetYZk0cF&#10;8zRbgZgCyzWfO07O8xpkWcjbC+UfAAAA//8DAFBLAQItABQABgAIAAAAIQC2gziS/gAAAOEBAAAT&#10;AAAAAAAAAAAAAAAAAAAAAABbQ29udGVudF9UeXBlc10ueG1sUEsBAi0AFAAGAAgAAAAhADj9If/W&#10;AAAAlAEAAAsAAAAAAAAAAAAAAAAALwEAAF9yZWxzLy5yZWxzUEsBAi0AFAAGAAgAAAAhAMccqeIQ&#10;AgAAHwQAAA4AAAAAAAAAAAAAAAAALgIAAGRycy9lMm9Eb2MueG1sUEsBAi0AFAAGAAgAAAAhAN3v&#10;S5jdAAAACgEAAA8AAAAAAAAAAAAAAAAAagQAAGRycy9kb3ducmV2LnhtbFBLBQYAAAAABAAEAPMA&#10;AAB0BQAAAAA=&#10;">
                <v:textbox style="mso-fit-shape-to-text:t">
                  <w:txbxContent>
                    <w:p w14:paraId="37BFB4F2" w14:textId="275A638B" w:rsidR="00597CA4" w:rsidRPr="008D6AC7" w:rsidRDefault="00597CA4" w:rsidP="00597CA4">
                      <w:pPr>
                        <w:spacing w:line="320" w:lineRule="exact"/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</w:pPr>
                      <w:r w:rsidRPr="008D6AC7"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  <w:t>附件</w:t>
                      </w:r>
                      <w:r w:rsidR="005B4805">
                        <w:rPr>
                          <w:rFonts w:ascii="Times New Roman" w:eastAsia="標楷體" w:hAnsi="Times New Roman" w:cs="Times New Roman" w:hint="eastAsia"/>
                          <w:sz w:val="28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504CC" w:rsidRPr="009B1773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中華民國證券商業同業公會「</w:t>
      </w:r>
      <w:r w:rsidR="00344855" w:rsidRPr="009B1773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發行人募集與發行有價證券承銷商評估報告應行記載事項要點</w:t>
      </w:r>
      <w:r w:rsidR="002504CC" w:rsidRPr="009B1773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」</w:t>
      </w:r>
      <w:r w:rsidR="00344855" w:rsidRPr="009B1773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第參點</w:t>
      </w:r>
      <w:r w:rsidR="001033CB" w:rsidRPr="009B1773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修正條文對照表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9907F3" w:rsidRPr="009B1773" w14:paraId="5FDF3BE1" w14:textId="77777777" w:rsidTr="009907F3">
        <w:tc>
          <w:tcPr>
            <w:tcW w:w="3258" w:type="dxa"/>
          </w:tcPr>
          <w:p w14:paraId="095518E2" w14:textId="552C6EBE" w:rsidR="009907F3" w:rsidRPr="009907F3" w:rsidRDefault="009907F3" w:rsidP="001C489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修正條文</w:t>
            </w:r>
          </w:p>
        </w:tc>
        <w:tc>
          <w:tcPr>
            <w:tcW w:w="3259" w:type="dxa"/>
          </w:tcPr>
          <w:p w14:paraId="11C10196" w14:textId="41C78253" w:rsidR="009907F3" w:rsidRPr="009B1773" w:rsidRDefault="009907F3" w:rsidP="001C489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現行條文</w:t>
            </w:r>
          </w:p>
        </w:tc>
        <w:tc>
          <w:tcPr>
            <w:tcW w:w="3259" w:type="dxa"/>
          </w:tcPr>
          <w:p w14:paraId="34669E9A" w14:textId="6AB53E8D" w:rsidR="009907F3" w:rsidRPr="009B1773" w:rsidRDefault="009907F3" w:rsidP="001C489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</w:t>
            </w:r>
          </w:p>
        </w:tc>
      </w:tr>
      <w:tr w:rsidR="009907F3" w:rsidRPr="009B1773" w14:paraId="33913617" w14:textId="77777777" w:rsidTr="009907F3">
        <w:tc>
          <w:tcPr>
            <w:tcW w:w="3258" w:type="dxa"/>
          </w:tcPr>
          <w:p w14:paraId="38F204AF" w14:textId="77777777" w:rsidR="009907F3" w:rsidRPr="009907F3" w:rsidRDefault="009907F3" w:rsidP="0060009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參、現金增資發行新股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含附認股權特別股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、發行轉換公司債及附認股權公司債者，應載明或評估下列事項：</w:t>
            </w:r>
          </w:p>
          <w:p w14:paraId="37AA791A" w14:textId="77777777" w:rsidR="009907F3" w:rsidRPr="009907F3" w:rsidRDefault="009907F3" w:rsidP="0060009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五、略。</w:t>
            </w:r>
          </w:p>
          <w:p w14:paraId="21F4B7E2" w14:textId="34C625B7" w:rsidR="009907F3" w:rsidRPr="009907F3" w:rsidRDefault="009907F3" w:rsidP="0060009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六、就本次募集與發行有價證券計畫是否具有可行性、必要性及合理性蒐集資料，說明其查核程序及所獲致結論：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(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如屬</w:t>
            </w:r>
            <w:r w:rsidRPr="009907F3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「發行人募集與發行有價證券處理準則」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第八條第三項規定之</w:t>
            </w:r>
            <w:r w:rsidRPr="002A0581">
              <w:rPr>
                <w:rFonts w:ascii="Times New Roman" w:eastAsia="標楷體" w:hAnsi="Times New Roman" w:cs="Times New Roman" w:hint="eastAsia"/>
                <w:color w:val="000000" w:themeColor="text1"/>
              </w:rPr>
              <w:t>案件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，得不適用關於必要性之規定</w:t>
            </w: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443F1FFC" w14:textId="77777777" w:rsidR="009907F3" w:rsidRPr="009907F3" w:rsidRDefault="009907F3" w:rsidP="0060009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3AA07B" w14:textId="44BAD9F1" w:rsidR="009907F3" w:rsidRPr="009907F3" w:rsidRDefault="009907F3" w:rsidP="0060009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07F3">
              <w:rPr>
                <w:rFonts w:ascii="Times New Roman" w:eastAsia="標楷體" w:hAnsi="Times New Roman" w:cs="Times New Roman" w:hint="eastAsia"/>
                <w:color w:val="000000" w:themeColor="text1"/>
              </w:rPr>
              <w:t>以下略。</w:t>
            </w:r>
          </w:p>
        </w:tc>
        <w:tc>
          <w:tcPr>
            <w:tcW w:w="3259" w:type="dxa"/>
          </w:tcPr>
          <w:p w14:paraId="7DDA3F2A" w14:textId="0BB358B4" w:rsidR="009907F3" w:rsidRPr="009B1773" w:rsidRDefault="009907F3" w:rsidP="00DC3078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參、現金增資發行新股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含附認股權特別股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、發行轉換公司債及附認股權公司債者，應載明或評估下列事項：</w:t>
            </w:r>
          </w:p>
          <w:p w14:paraId="55AAD830" w14:textId="769716A8" w:rsidR="009907F3" w:rsidRPr="009B1773" w:rsidRDefault="009907F3" w:rsidP="00DC3078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五、略。</w:t>
            </w:r>
          </w:p>
          <w:p w14:paraId="32FF3FE0" w14:textId="227D8C86" w:rsidR="009907F3" w:rsidRPr="009B1773" w:rsidRDefault="009907F3" w:rsidP="00DC3078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六、就本次募集與發行有價證券計畫是否具有可行性、必要性及合理性蒐集資料，說明其查核程序及所獲致結論：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但興櫃股票</w:t>
            </w:r>
            <w:proofErr w:type="gramEnd"/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公司辦理現金增資發行新股作為初次上市、上櫃前公開銷售案件，或上櫃</w:t>
            </w:r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(</w:t>
            </w:r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市</w:t>
            </w:r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)</w:t>
            </w:r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公司申請轉上市</w:t>
            </w:r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(</w:t>
            </w:r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櫃</w:t>
            </w:r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)</w:t>
            </w:r>
            <w:r w:rsidRPr="00DB6B0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者為達股權分散所為之現金增資發行新股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案件，得不適用關於必要性之規定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36BA4B8C" w14:textId="77777777" w:rsidR="009907F3" w:rsidRPr="009B1773" w:rsidRDefault="009907F3" w:rsidP="00DC3078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341C793" w14:textId="31F028EB" w:rsidR="009907F3" w:rsidRPr="009B1773" w:rsidRDefault="009907F3" w:rsidP="00361524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以下略。</w:t>
            </w:r>
          </w:p>
        </w:tc>
        <w:tc>
          <w:tcPr>
            <w:tcW w:w="3259" w:type="dxa"/>
          </w:tcPr>
          <w:p w14:paraId="0D91F5D9" w14:textId="751C8C45" w:rsidR="009907F3" w:rsidRPr="00A65A25" w:rsidRDefault="009907F3" w:rsidP="00A65A2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考量主管機關</w:t>
            </w:r>
            <w:r w:rsidRPr="00A65A25">
              <w:rPr>
                <w:rFonts w:ascii="Times New Roman" w:eastAsia="標楷體" w:hAnsi="Times New Roman" w:cs="Times New Roman"/>
                <w:color w:val="000000" w:themeColor="text1"/>
              </w:rPr>
              <w:t>「發行人募集與發行有價證券處理準則」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條第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項已明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定初次上市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、創新板初次上市、上櫃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轉上市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及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創新板改列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上市等案件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得不適用有關發行人募集與發行有價證券計畫必要性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規定，為規範之一致性，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爰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修正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參、六、，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有關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得不適用募集與發行有價證券計畫必要性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規定之案件類型，應依</w:t>
            </w:r>
            <w:r w:rsidRPr="00A65A25">
              <w:rPr>
                <w:rFonts w:ascii="Times New Roman" w:eastAsia="標楷體" w:hAnsi="Times New Roman" w:cs="Times New Roman"/>
                <w:color w:val="000000" w:themeColor="text1"/>
              </w:rPr>
              <w:t>「發行人募集與發行有價證券處理準則」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條第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規定辦理。</w:t>
            </w:r>
          </w:p>
        </w:tc>
      </w:tr>
    </w:tbl>
    <w:p w14:paraId="0CEDE1C8" w14:textId="77777777" w:rsidR="00D842C2" w:rsidRPr="009B1773" w:rsidRDefault="00D842C2" w:rsidP="00C75033">
      <w:pPr>
        <w:spacing w:line="200" w:lineRule="exact"/>
        <w:rPr>
          <w:color w:val="000000" w:themeColor="text1"/>
        </w:rPr>
      </w:pPr>
    </w:p>
    <w:sectPr w:rsidR="00D842C2" w:rsidRPr="009B1773" w:rsidSect="000F6D80"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44A8" w14:textId="77777777" w:rsidR="00D8546B" w:rsidRDefault="00D8546B" w:rsidP="001033CB">
      <w:r>
        <w:separator/>
      </w:r>
    </w:p>
  </w:endnote>
  <w:endnote w:type="continuationSeparator" w:id="0">
    <w:p w14:paraId="67B4184F" w14:textId="77777777" w:rsidR="00D8546B" w:rsidRDefault="00D8546B" w:rsidP="0010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811507"/>
      <w:docPartObj>
        <w:docPartGallery w:val="Page Numbers (Bottom of Page)"/>
        <w:docPartUnique/>
      </w:docPartObj>
    </w:sdtPr>
    <w:sdtContent>
      <w:p w14:paraId="01B46CDA" w14:textId="53A89E4F" w:rsidR="001033CB" w:rsidRDefault="000F6D80" w:rsidP="00071E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EAAA" w14:textId="77777777" w:rsidR="00D8546B" w:rsidRDefault="00D8546B" w:rsidP="001033CB">
      <w:r>
        <w:separator/>
      </w:r>
    </w:p>
  </w:footnote>
  <w:footnote w:type="continuationSeparator" w:id="0">
    <w:p w14:paraId="15BA7D06" w14:textId="77777777" w:rsidR="00D8546B" w:rsidRDefault="00D8546B" w:rsidP="0010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3B6"/>
    <w:multiLevelType w:val="multilevel"/>
    <w:tmpl w:val="9E82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2CBC"/>
    <w:multiLevelType w:val="hybridMultilevel"/>
    <w:tmpl w:val="168E9B66"/>
    <w:lvl w:ilvl="0" w:tplc="9BE63F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44D20"/>
    <w:multiLevelType w:val="multilevel"/>
    <w:tmpl w:val="26FC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E3723"/>
    <w:multiLevelType w:val="multilevel"/>
    <w:tmpl w:val="1670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4315E"/>
    <w:multiLevelType w:val="multilevel"/>
    <w:tmpl w:val="6036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005717">
    <w:abstractNumId w:val="2"/>
  </w:num>
  <w:num w:numId="2" w16cid:durableId="1509641416">
    <w:abstractNumId w:val="0"/>
  </w:num>
  <w:num w:numId="3" w16cid:durableId="1195851570">
    <w:abstractNumId w:val="3"/>
  </w:num>
  <w:num w:numId="4" w16cid:durableId="470558718">
    <w:abstractNumId w:val="4"/>
  </w:num>
  <w:num w:numId="5" w16cid:durableId="199891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C2"/>
    <w:rsid w:val="000313C0"/>
    <w:rsid w:val="00071E37"/>
    <w:rsid w:val="000C67CA"/>
    <w:rsid w:val="000D5352"/>
    <w:rsid w:val="000F6D80"/>
    <w:rsid w:val="001033CB"/>
    <w:rsid w:val="00114820"/>
    <w:rsid w:val="0013400B"/>
    <w:rsid w:val="00162A0A"/>
    <w:rsid w:val="00195D3E"/>
    <w:rsid w:val="001C489D"/>
    <w:rsid w:val="001D76A0"/>
    <w:rsid w:val="002351C6"/>
    <w:rsid w:val="002504CC"/>
    <w:rsid w:val="0025152F"/>
    <w:rsid w:val="00273734"/>
    <w:rsid w:val="00277F55"/>
    <w:rsid w:val="00280755"/>
    <w:rsid w:val="002A0581"/>
    <w:rsid w:val="002C19E9"/>
    <w:rsid w:val="002C7AEE"/>
    <w:rsid w:val="00344855"/>
    <w:rsid w:val="00361524"/>
    <w:rsid w:val="003A58FE"/>
    <w:rsid w:val="003D2D1D"/>
    <w:rsid w:val="003D4927"/>
    <w:rsid w:val="00416A77"/>
    <w:rsid w:val="004876F2"/>
    <w:rsid w:val="0049708D"/>
    <w:rsid w:val="005365A4"/>
    <w:rsid w:val="0059513F"/>
    <w:rsid w:val="00595E3D"/>
    <w:rsid w:val="00597CA4"/>
    <w:rsid w:val="005B4805"/>
    <w:rsid w:val="00600097"/>
    <w:rsid w:val="0067115C"/>
    <w:rsid w:val="006D33AB"/>
    <w:rsid w:val="006F790C"/>
    <w:rsid w:val="00701F63"/>
    <w:rsid w:val="00733D86"/>
    <w:rsid w:val="007C5BF7"/>
    <w:rsid w:val="007E6D2E"/>
    <w:rsid w:val="00840172"/>
    <w:rsid w:val="00852861"/>
    <w:rsid w:val="00881809"/>
    <w:rsid w:val="008C4D71"/>
    <w:rsid w:val="008D6AC7"/>
    <w:rsid w:val="00924BB4"/>
    <w:rsid w:val="0093798C"/>
    <w:rsid w:val="0097772F"/>
    <w:rsid w:val="009907F3"/>
    <w:rsid w:val="009B1773"/>
    <w:rsid w:val="009D5E2D"/>
    <w:rsid w:val="00A07162"/>
    <w:rsid w:val="00A171AD"/>
    <w:rsid w:val="00A5141D"/>
    <w:rsid w:val="00A65A25"/>
    <w:rsid w:val="00AB51DA"/>
    <w:rsid w:val="00B45570"/>
    <w:rsid w:val="00B50063"/>
    <w:rsid w:val="00B55E6D"/>
    <w:rsid w:val="00BA6F22"/>
    <w:rsid w:val="00C75033"/>
    <w:rsid w:val="00C85534"/>
    <w:rsid w:val="00D33C3D"/>
    <w:rsid w:val="00D409C2"/>
    <w:rsid w:val="00D70684"/>
    <w:rsid w:val="00D842C2"/>
    <w:rsid w:val="00D8546B"/>
    <w:rsid w:val="00D915D9"/>
    <w:rsid w:val="00D94AA6"/>
    <w:rsid w:val="00DB6B06"/>
    <w:rsid w:val="00DC3078"/>
    <w:rsid w:val="00DE5460"/>
    <w:rsid w:val="00DF15F1"/>
    <w:rsid w:val="00E11B11"/>
    <w:rsid w:val="00E521A9"/>
    <w:rsid w:val="00E73E4D"/>
    <w:rsid w:val="00E86AAF"/>
    <w:rsid w:val="00E87B3D"/>
    <w:rsid w:val="00ED01AE"/>
    <w:rsid w:val="00F11458"/>
    <w:rsid w:val="00F2035F"/>
    <w:rsid w:val="00F47DB7"/>
    <w:rsid w:val="00F505DF"/>
    <w:rsid w:val="00F937F4"/>
    <w:rsid w:val="00FA6158"/>
    <w:rsid w:val="00FB3A63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E35BB"/>
  <w15:chartTrackingRefBased/>
  <w15:docId w15:val="{F01A039D-649D-4965-BAD9-688ED062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1B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006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33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33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鍾韻琳</dc:creator>
  <cp:keywords/>
  <dc:description/>
  <cp:lastModifiedBy>鍾韻琳</cp:lastModifiedBy>
  <cp:revision>13</cp:revision>
  <cp:lastPrinted>2026-01-07T03:36:00Z</cp:lastPrinted>
  <dcterms:created xsi:type="dcterms:W3CDTF">2025-12-16T07:58:00Z</dcterms:created>
  <dcterms:modified xsi:type="dcterms:W3CDTF">2026-01-08T06:38:00Z</dcterms:modified>
</cp:coreProperties>
</file>